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0" w:before="0"/>
      </w:pPr>
      <w:r>
        <w:rPr>
          <w:b/>
          <w:sz w:val="34"/>
        </w:rPr>
        <w:t>Опросный лист</w:t>
      </w:r>
    </w:p>
    <w:p>
      <w:pPr>
        <w:keepNext w:val="0"/>
        <w:widowControl/>
        <w:spacing w:before="0" w:after="10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Поверхностные водоёмы и биопруды</w:t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i w:val="0"/>
          <w:color w:val="000000"/>
          <w:sz w:val="20"/>
        </w:rPr>
        <w:t>Для целей разработки программы внедрения и последующего применения Биоаугментатора-биорегулятора «БИОФОКС»® для биологической очистки поверхностных водоёмов (заполняется на каждый отдельный водоём)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94"/>
        <w:gridCol w:w="2486"/>
        <w:gridCol w:w="2483"/>
        <w:gridCol w:w="602"/>
        <w:gridCol w:w="2097"/>
      </w:tblGrid>
      <w:tr>
        <w:trPr>
          <w:cantSplit/>
          <w:trHeight w:val="295" w:hRule="atLeast"/>
        </w:trPr>
        <w:tc>
          <w:tcPr>
            <w:tcW w:w="2594" w:type="dxa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Регион -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Пункт нахождения-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(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город, село, деревня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):</w:t>
            </w:r>
          </w:p>
        </w:tc>
        <w:tc>
          <w:tcPr>
            <w:tcW w:w="2486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483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Дата заполнения:</w:t>
            </w:r>
          </w:p>
        </w:tc>
        <w:tc>
          <w:tcPr>
            <w:tcW w:w="2698" w:type="dxa"/>
            <w:gridSpan w:val="2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ЗАЯВИТЕЛЬ: _______________________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bidi w:val="0"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Принадлежность (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правовые основы владельца и/или заявителя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 и топонимика поверхностного водоёма: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Площадь водного зеркала, м²: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/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Длина береговой линии (м)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Максимальная глубина водоёма (м):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Средняя глубина водоёма (м):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Средняя толщина слоя донных отложений, м: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Водные артерии водоёма:</w:t>
            </w:r>
          </w:p>
        </w:tc>
        <w:tc>
          <w:tcPr>
            <w:tcW w:w="5497" w:type="dxa"/>
            <w:gridSpan w:val="3"/>
            <w:vMerge w:val="restart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Ручей / Река / Поверх. осадочные воды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Входящие: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(нужные подчеркнуть)</w:t>
            </w:r>
          </w:p>
        </w:tc>
        <w:tc>
          <w:tcPr>
            <w:tcW w:w="4883" w:type="dxa"/>
            <w:gridSpan w:val="3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Критерии входящих вод: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Расход воды, м³/ч: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Исходящие: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(нужное подчеркнуть)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Ручей / Река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Критерии исходящих вод: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Расход воды, м³/ч: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/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Является ли водоём объектом системы сообщающихся водоёмов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(нужное подчеркнуть)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Да / нет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Имеются ли промышленные источники загрязнения водного объекта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(перечислить основные предприятия)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Количество сельхозпредприятий по принадлежности земель в бассейне водоёма.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(перечислить основные предприятия)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Объём сбрасываемых вод поступающих в водоём от предприятий (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усреднённый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</w:t>
            </w:r>
          </w:p>
        </w:tc>
        <w:tc>
          <w:tcPr>
            <w:tcW w:w="5181" w:type="dxa"/>
            <w:gridSpan w:val="3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r>
        <w:br w:type="page"/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Поверхностные водоёмы и биопруды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94"/>
        <w:gridCol w:w="2486"/>
        <w:gridCol w:w="2483"/>
        <w:gridCol w:w="602"/>
        <w:gridCol w:w="2097"/>
      </w:tblGrid>
      <w:tr>
        <w:trPr>
          <w:cantSplit/>
          <w:tblHeader/>
          <w:trHeight w:val="295" w:hRule="atLeast"/>
        </w:trPr>
        <w:tc>
          <w:tcPr>
            <w:tcW w:w="5080" w:type="dxa"/>
            <w:gridSpan w:val="2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Усредненные показатели качества водной среды водоёма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vertAlign w:val="superscript"/>
                <w:lang w:val="ru-RU"/>
              </w:rPr>
              <w:t xml:space="preserve">3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 xml:space="preserve"> </w:t>
            </w:r>
          </w:p>
        </w:tc>
        <w:tc>
          <w:tcPr>
            <w:tcW w:w="3084" w:type="dxa"/>
            <w:gridSpan w:val="2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Фактическое значение</w:t>
            </w:r>
          </w:p>
        </w:tc>
        <w:tc>
          <w:tcPr>
            <w:tcW w:w="2097" w:type="dxa"/>
            <w:shd w:fill="143A4B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24"/>
                <w:lang w:val="ru-RU"/>
              </w:rPr>
              <w:t>Установленные нормативы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Водородный показатель (pH)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/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6,5-8,5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ХПК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БПК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Минерализация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Региональный уровень</w:t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Биогенные вещества:</w:t>
            </w:r>
          </w:p>
        </w:tc>
        <w:tc>
          <w:tcPr>
            <w:tcW w:w="3272" w:type="dxa"/>
            <w:gridSpan w:val="2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  <w:tc>
          <w:tcPr>
            <w:tcW w:w="2225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Аммоний ион </w:t>
            </w:r>
            <w:r>
              <w:rPr>
                <w:rFonts w:eastAsia="Times New Roman" w:cs="Times New Roman" w:ascii="Arial" w:hAnsi="Arial"/>
                <w:b w:val="0"/>
                <w:bCs/>
                <w:i w:val="0"/>
                <w:color w:val="000000"/>
                <w:sz w:val="21"/>
                <w:szCs w:val="24"/>
                <w:lang w:val="ru-RU"/>
              </w:rPr>
              <w:t>(</w:t>
            </w:r>
            <w:r>
              <w:rPr>
                <w:rFonts w:eastAsia="Times New Roman" w:cs="Times New Roman" w:ascii="Arial" w:hAnsi="Arial"/>
                <w:b w:val="0"/>
                <w:bCs/>
                <w:i w:val="0"/>
                <w:color w:val="000000"/>
                <w:sz w:val="21"/>
                <w:szCs w:val="24"/>
                <w:lang w:val="en-US"/>
              </w:rPr>
              <w:t>NH</w:t>
            </w:r>
            <w:r>
              <w:rPr>
                <w:rFonts w:eastAsia="Times New Roman" w:cs="Times New Roman" w:ascii="Arial" w:hAnsi="Arial"/>
                <w:b w:val="0"/>
                <w:bCs/>
                <w:i w:val="0"/>
                <w:color w:val="000000"/>
                <w:sz w:val="21"/>
                <w:szCs w:val="24"/>
                <w:vertAlign w:val="subscript"/>
                <w:lang w:val="ru-RU"/>
              </w:rPr>
              <w:t>4</w:t>
            </w:r>
            <w:r>
              <w:rPr>
                <w:rFonts w:eastAsia="Times New Roman" w:cs="Times New Roman" w:ascii="Arial" w:hAnsi="Arial"/>
                <w:b w:val="0"/>
                <w:bCs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>+</w:t>
            </w:r>
            <w:r>
              <w:rPr>
                <w:rFonts w:eastAsia="Times New Roman" w:cs="Times New Roman" w:ascii="Arial" w:hAnsi="Arial"/>
                <w:b w:val="0"/>
                <w:bCs/>
                <w:i w:val="0"/>
                <w:color w:val="000000"/>
                <w:sz w:val="21"/>
                <w:szCs w:val="24"/>
                <w:lang w:val="ru-RU"/>
              </w:rPr>
              <w:t>)</w:t>
            </w:r>
          </w:p>
        </w:tc>
        <w:tc>
          <w:tcPr>
            <w:tcW w:w="2907" w:type="dxa"/>
            <w:gridSpan w:val="2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76" w:type="dxa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Нитрит ион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(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>NO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vertAlign w:val="subscript"/>
                <w:lang w:val="ru-RU"/>
              </w:rPr>
              <w:t>2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>-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</w:t>
            </w:r>
          </w:p>
        </w:tc>
        <w:tc>
          <w:tcPr>
            <w:tcW w:w="2907" w:type="dxa"/>
            <w:gridSpan w:val="2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76" w:type="dxa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Нитрат ион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(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lang w:val="en-US"/>
              </w:rPr>
              <w:t>NO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vertAlign w:val="subscript"/>
                <w:lang w:val="ru-RU"/>
              </w:rPr>
              <w:t>3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vertAlign w:val="superscript"/>
                <w:lang w:val="ru-RU"/>
              </w:rPr>
              <w:t>-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</w:t>
            </w:r>
          </w:p>
        </w:tc>
        <w:tc>
          <w:tcPr>
            <w:tcW w:w="2907" w:type="dxa"/>
            <w:gridSpan w:val="2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76" w:type="dxa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Фосфаты</w:t>
            </w:r>
          </w:p>
        </w:tc>
        <w:tc>
          <w:tcPr>
            <w:tcW w:w="2907" w:type="dxa"/>
            <w:gridSpan w:val="2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76" w:type="dxa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Нефтепродукты</w:t>
            </w:r>
          </w:p>
        </w:tc>
        <w:tc>
          <w:tcPr>
            <w:tcW w:w="2907" w:type="dxa"/>
            <w:gridSpan w:val="2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76" w:type="dxa"/>
            <w:tcBorders>
              <w:top w:val="single" w:sz="4" w:space="0" w:color="D9D9D9"/>
              <w:start w:val="single" w:sz="4" w:space="0" w:color="D9D9D9"/>
              <w:bottom w:val="single" w:sz="4" w:space="0" w:color="D9D9D9"/>
              <w:end w:val="single" w:sz="4" w:space="0" w:color="D9D9D9"/>
            </w:tcBorders>
            <w:shd w:fill="FFFFFF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Растворённый кислород (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оксиметром на месте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)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pacing w:val="-5"/>
                <w:sz w:val="21"/>
                <w:szCs w:val="24"/>
                <w:lang w:val="ru-RU"/>
              </w:rPr>
              <w:t xml:space="preserve">КДА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pacing w:val="-5"/>
                <w:sz w:val="21"/>
                <w:szCs w:val="20"/>
                <w:lang w:val="ru-RU"/>
              </w:rPr>
              <w:t>(коэффициент донной акку</w:t>
              <w:softHyphen/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муляции)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 xml:space="preserve">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Кн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(коэффициент накопления в гидробионтах)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 Запах (баллы и/или пороговая интенсивность)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Прозрачность</w:t>
            </w:r>
          </w:p>
        </w:tc>
        <w:tc>
          <w:tcPr>
            <w:tcW w:w="308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097" w:type="dxa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БИОЛОГИЧЕСКАЯ ОЦЕНКА</w:t>
            </w:r>
          </w:p>
        </w:tc>
        <w:tc>
          <w:tcPr>
            <w:tcW w:w="5181" w:type="dxa"/>
            <w:gridSpan w:val="3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pacing w:val="-1"/>
                <w:sz w:val="21"/>
                <w:szCs w:val="24"/>
                <w:lang w:val="ru-RU"/>
              </w:rPr>
              <w:t>* Олигохетный индекс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pacing w:val="-1"/>
                <w:sz w:val="21"/>
                <w:szCs w:val="20"/>
                <w:lang w:val="ru-RU"/>
              </w:rPr>
              <w:t>,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pacing w:val="-1"/>
                <w:sz w:val="21"/>
                <w:szCs w:val="20"/>
                <w:lang w:val="en-US"/>
              </w:rPr>
              <w:t> 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отношение числен</w:t>
              <w:softHyphen/>
              <w:t>ности олигохет к численности всего зообентоса, (</w:t>
            </w:r>
            <w:r>
              <w:rPr>
                <w:rFonts w:eastAsia="Times New Roman" w:cs="Times New Roman" w:ascii="Arial" w:hAnsi="Arial"/>
                <w:b w:val="0"/>
                <w:bCs/>
                <w:i w:val="0"/>
                <w:color w:val="000000"/>
                <w:sz w:val="21"/>
                <w:szCs w:val="20"/>
                <w:lang w:val="ru-RU"/>
              </w:rPr>
              <w:t>Индекс Гуднайт-Уотлея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 xml:space="preserve"> )%</w:t>
            </w:r>
          </w:p>
        </w:tc>
        <w:tc>
          <w:tcPr>
            <w:tcW w:w="5181" w:type="dxa"/>
            <w:gridSpan w:val="3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 xml:space="preserve">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Количество сапро</w:t>
              <w:softHyphen/>
              <w:t>фитных бактерий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, кл/мл</w:t>
            </w:r>
          </w:p>
        </w:tc>
        <w:tc>
          <w:tcPr>
            <w:tcW w:w="5181" w:type="dxa"/>
            <w:gridSpan w:val="3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*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 xml:space="preserve"> 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Общее количество бактерий</w:t>
            </w:r>
            <w:r>
              <w:rPr>
                <w:rFonts w:eastAsia="Times New Roman"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, кл/мл</w:t>
            </w:r>
          </w:p>
        </w:tc>
        <w:tc>
          <w:tcPr>
            <w:tcW w:w="5181" w:type="dxa"/>
            <w:gridSpan w:val="3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080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*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8"/>
                <w:lang w:val="ru-RU"/>
              </w:rPr>
              <w:t>позиции обязательные к отражению данных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Ф.И.О. сотрудника, уполномоченного на решение вопросов, контактный телефон и иные контактные данные:</w:t>
            </w:r>
          </w:p>
        </w:tc>
        <w:tc>
          <w:tcPr>
            <w:tcW w:w="5181" w:type="dxa"/>
            <w:gridSpan w:val="3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</w:tbl>
    <w:p>
      <w:pPr>
        <w:keepNext w:val="0"/>
        <w:widowControl/>
        <w:spacing w:before="6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1 Опросный лист предназначен для предварительной оценки задачи. Условия сотрудничества стороны согласуют отдельно.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2 Форма и концепция данного документа является собственностью и разработкой компании КСПТ «РАСТР»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3 Сведения из анкеты РАСТР использует для оценки задачи и подготовки рекомендаций. Доступ к сведениям ограничен кругом лиц, которым он необходим для обработки обращения. Политика обработки персональных данных:</w:t>
        <w:br/>
      </w:r>
      <w:hyperlink r:id="rIdQuestionnairePrivacy">
        <w:r>
          <w:rPr>
            <w:rFonts w:ascii="Arial" w:hAnsi="Arial"/>
            <w:i w:val="0"/>
            <w:color w:val="174B50"/>
            <w:sz w:val="18"/>
            <w:u w:val="single"/>
          </w:rPr>
          <w:t>biofox-rastr.com/ru/privacy/</w:t>
        </w:r>
      </w:hyperlink>
    </w:p>
    <w:p>
      <w:pPr>
        <w:keepNext w:val="0"/>
        <w:widowControl/>
        <w:spacing w:before="1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9"/>
        </w:rPr>
        <w:t>____________________       ____________________       __________________________</w:t>
      </w:r>
    </w:p>
    <w:p>
      <w:pPr>
        <w:keepNext w:val="0"/>
        <w:widowControl/>
        <w:spacing w:before="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Должность                                      Подпись                                      Расшифровка подписи</w:t>
      </w:r>
    </w:p>
    <w:p>
      <w:pPr>
        <w:keepNext w:val="0"/>
        <w:widowControl/>
        <w:spacing w:before="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М.П.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389" w:right="822" w:bottom="709" w:left="822" w:header="340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66747D"/>
        <w:sz w:val="16"/>
      </w:rPr>
      <w:t xml:space="preserve">БИОФОКС  /  Опросный лист  ·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1814" w:val="left"/>
        <w:tab w:pos="10261" w:val="right"/>
      </w:tabs>
      <w:spacing w:after="0"/>
    </w:pPr>
    <w:r>
      <w:drawing>
        <wp:inline xmlns:a="http://schemas.openxmlformats.org/drawingml/2006/main" xmlns:pic="http://schemas.openxmlformats.org/drawingml/2006/picture">
          <wp:extent cx="1007999" cy="4347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-origin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4347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Arial" w:hAnsi="Arial"/>
        <w:b/>
        <w:sz w:val="22"/>
      </w:rPr>
      <w:tab/>
      <w:t>ООО КСПТ «РАСТР»</w:t>
    </w:r>
    <w:r>
      <w:rPr>
        <w:sz w:val="20"/>
      </w:rPr>
      <w:tab/>
      <w:t>8 800 600-74-32</w:t>
    </w:r>
  </w:p>
  <w:p>
    <w:pPr>
      <w:keepNext w:val="0"/>
      <w:widowControl/>
      <w:spacing w:before="0" w:after="0" w:line="245" w:lineRule="auto"/>
      <w:ind w:left="0" w:right="0" w:firstLine="0"/>
      <w:jc w:val="right"/>
    </w:pPr>
    <w:r>
      <w:rPr>
        <w:rFonts w:ascii="Arial" w:hAnsi="Arial"/>
        <w:i w:val="0"/>
        <w:color w:val="000000"/>
        <w:sz w:val="17"/>
      </w:rPr>
      <w:t>kspt-rastr@bk.ru   ·   Москва, проспект Мира, 106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QuestionnairePrivacy" Type="http://schemas.openxmlformats.org/officeDocument/2006/relationships/hyperlink" Target="https://biofox-rastr.com/ru/privacy/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БИОФОКС — Поверхностные водоёмы и биопруды</dc:title>
  <dc:subject/>
  <dc:creator>ООО КСПТ «РАСТР»</dc:creator>
  <cp:keywords/>
  <dc:description>generated by python-docx</dc:description>
  <cp:lastModifiedBy>ООО КСПТ «РАСТР»</cp:lastModifiedBy>
  <cp:revision>1</cp:revision>
  <dcterms:created xsi:type="dcterms:W3CDTF">2013-12-23T23:15:00Z</dcterms:created>
  <dcterms:modified xsi:type="dcterms:W3CDTF">2013-12-23T23:15:00Z</dcterms:modified>
  <cp:category/>
</cp:coreProperties>
</file>